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30"/>
          <w:szCs w:val="30"/>
        </w:rPr>
        <w:t xml:space="preserve">DATA PROCESSING AGREEMENT</w:t>
      </w:r>
    </w:p>
    <w:p>
      <w:pPr>
        <w:spacing w:after="240"/>
        <w:jc w:val="center"/>
      </w:pPr>
      <w:r>
        <w:rPr>
          <w:rFonts w:ascii="Calibri" w:cs="Calibri" w:eastAsia="Calibri" w:hAnsi="Calibri"/>
          <w:i/>
          <w:iCs/>
          <w:sz w:val="22"/>
          <w:szCs w:val="22"/>
        </w:rPr>
        <w:t xml:space="preserve">Edupic Create — UK GDPR Article 28 processor terms</w:t>
      </w:r>
    </w:p>
    <w:p>
      <w:pPr>
        <w:spacing w:after="120"/>
      </w:pPr>
      <w:r>
        <w:rPr>
          <w:rFonts w:ascii="Calibri" w:cs="Calibri" w:eastAsia="Calibri" w:hAnsi="Calibri"/>
          <w:sz w:val="22"/>
          <w:szCs w:val="22"/>
        </w:rPr>
        <w:t xml:space="preserve">This Data Processing Agreement (the </w:t>
      </w:r>
      <w:r>
        <w:rPr>
          <w:rFonts w:ascii="Calibri" w:cs="Calibri" w:eastAsia="Calibri" w:hAnsi="Calibri"/>
          <w:b/>
          <w:bCs/>
          <w:sz w:val="22"/>
          <w:szCs w:val="22"/>
        </w:rPr>
        <w:t xml:space="preserve">“DPA”</w:t>
      </w:r>
      <w:r>
        <w:rPr>
          <w:rFonts w:ascii="Calibri" w:cs="Calibri" w:eastAsia="Calibri" w:hAnsi="Calibri"/>
          <w:sz w:val="22"/>
          <w:szCs w:val="22"/>
        </w:rPr>
        <w:t xml:space="preserve">) forms part of, and is incorporated into, the Software-as-a-Service Licence Agreement and Order Form (together the </w:t>
      </w:r>
      <w:r>
        <w:rPr>
          <w:rFonts w:ascii="Calibri" w:cs="Calibri" w:eastAsia="Calibri" w:hAnsi="Calibri"/>
          <w:b/>
          <w:bCs/>
          <w:sz w:val="22"/>
          <w:szCs w:val="22"/>
        </w:rPr>
        <w:t xml:space="preserve">“Agreement”</w:t>
      </w:r>
      <w:r>
        <w:rPr>
          <w:rFonts w:ascii="Calibri" w:cs="Calibri" w:eastAsia="Calibri" w:hAnsi="Calibri"/>
          <w:sz w:val="22"/>
          <w:szCs w:val="22"/>
        </w:rPr>
        <w:t xml:space="preserve">) between </w:t>
      </w:r>
      <w:r>
        <w:rPr>
          <w:rFonts w:ascii="Calibri" w:cs="Calibri" w:eastAsia="Calibri" w:hAnsi="Calibri"/>
          <w:b/>
          <w:bCs/>
          <w:sz w:val="22"/>
          <w:szCs w:val="22"/>
        </w:rPr>
        <w:t xml:space="preserve">Edupic Holdings Limited</w:t>
      </w:r>
      <w:r>
        <w:rPr>
          <w:rFonts w:ascii="Calibri" w:cs="Calibri" w:eastAsia="Calibri" w:hAnsi="Calibri"/>
          <w:sz w:val="22"/>
          <w:szCs w:val="22"/>
        </w:rPr>
        <w:t xml:space="preserve"> (company number 15660413), trading as Edupic Create (the </w:t>
      </w:r>
      <w:r>
        <w:rPr>
          <w:rFonts w:ascii="Calibri" w:cs="Calibri" w:eastAsia="Calibri" w:hAnsi="Calibri"/>
          <w:b/>
          <w:bCs/>
          <w:sz w:val="22"/>
          <w:szCs w:val="22"/>
        </w:rPr>
        <w:t xml:space="preserve">“Processor”</w:t>
      </w:r>
      <w:r>
        <w:rPr>
          <w:rFonts w:ascii="Calibri" w:cs="Calibri" w:eastAsia="Calibri" w:hAnsi="Calibri"/>
          <w:sz w:val="22"/>
          <w:szCs w:val="22"/>
        </w:rPr>
        <w:t xml:space="preserve">), and the customer identified in the Order Form (the </w:t>
      </w:r>
      <w:r>
        <w:rPr>
          <w:rFonts w:ascii="Calibri" w:cs="Calibri" w:eastAsia="Calibri" w:hAnsi="Calibri"/>
          <w:b/>
          <w:bCs/>
          <w:sz w:val="22"/>
          <w:szCs w:val="22"/>
        </w:rPr>
        <w:t xml:space="preserve">“Controller”</w:t>
      </w:r>
      <w:r>
        <w:rPr>
          <w:rFonts w:ascii="Calibri" w:cs="Calibri" w:eastAsia="Calibri" w:hAnsi="Calibri"/>
          <w:sz w:val="22"/>
          <w:szCs w:val="22"/>
        </w:rPr>
        <w:t xml:space="preserve">). It records the parties' obligations under the Data Protection Legislation in respect of personal data processed by the Processor on behalf of the Controller. It takes effect when the Controller signs the Order Form; no separate signature is required.</w:t>
      </w:r>
    </w:p>
    <w:p>
      <w:pPr>
        <w:pStyle w:val="Heading1"/>
        <w:keepNext/>
        <w:spacing w:after="100" w:before="240"/>
      </w:pPr>
      <w:r>
        <w:rPr>
          <w:rFonts w:ascii="Calibri" w:cs="Calibri" w:eastAsia="Calibri" w:hAnsi="Calibri"/>
          <w:b/>
          <w:bCs/>
          <w:color w:val="1F3864"/>
          <w:sz w:val="24"/>
          <w:szCs w:val="24"/>
        </w:rPr>
        <w:t xml:space="preserve">1.	Definitions</w:t>
      </w:r>
    </w:p>
    <w:p>
      <w:pPr>
        <w:spacing w:after="100"/>
        <w:ind w:left="720" w:hanging="720"/>
      </w:pPr>
      <w:r>
        <w:rPr>
          <w:rFonts w:ascii="Calibri" w:cs="Calibri" w:eastAsia="Calibri" w:hAnsi="Calibri"/>
          <w:sz w:val="22"/>
          <w:szCs w:val="22"/>
        </w:rPr>
        <w:t xml:space="preserve">1.1	</w:t>
      </w:r>
      <w:r>
        <w:rPr>
          <w:rFonts w:ascii="Calibri" w:cs="Calibri" w:eastAsia="Calibri" w:hAnsi="Calibri"/>
          <w:sz w:val="22"/>
          <w:szCs w:val="22"/>
        </w:rPr>
        <w:t xml:space="preserve">Terms defined in the Licence Agreement have the same meaning in this DPA. In addition: </w:t>
      </w:r>
      <w:r>
        <w:rPr>
          <w:rFonts w:ascii="Calibri" w:cs="Calibri" w:eastAsia="Calibri" w:hAnsi="Calibri"/>
          <w:b/>
          <w:bCs/>
          <w:sz w:val="22"/>
          <w:szCs w:val="22"/>
        </w:rPr>
        <w:t xml:space="preserve">“Data Protection Legislation”</w:t>
      </w:r>
      <w:r>
        <w:rPr>
          <w:rFonts w:ascii="Calibri" w:cs="Calibri" w:eastAsia="Calibri" w:hAnsi="Calibri"/>
          <w:sz w:val="22"/>
          <w:szCs w:val="22"/>
        </w:rPr>
        <w:t xml:space="preserve">, </w:t>
      </w:r>
      <w:r>
        <w:rPr>
          <w:rFonts w:ascii="Calibri" w:cs="Calibri" w:eastAsia="Calibri" w:hAnsi="Calibri"/>
          <w:b/>
          <w:bCs/>
          <w:sz w:val="22"/>
          <w:szCs w:val="22"/>
        </w:rPr>
        <w:t xml:space="preserve">“controller”</w:t>
      </w:r>
      <w:r>
        <w:rPr>
          <w:rFonts w:ascii="Calibri" w:cs="Calibri" w:eastAsia="Calibri" w:hAnsi="Calibri"/>
          <w:sz w:val="22"/>
          <w:szCs w:val="22"/>
        </w:rPr>
        <w:t xml:space="preserve">, </w:t>
      </w:r>
      <w:r>
        <w:rPr>
          <w:rFonts w:ascii="Calibri" w:cs="Calibri" w:eastAsia="Calibri" w:hAnsi="Calibri"/>
          <w:b/>
          <w:bCs/>
          <w:sz w:val="22"/>
          <w:szCs w:val="22"/>
        </w:rPr>
        <w:t xml:space="preserve">“processor”</w:t>
      </w:r>
      <w:r>
        <w:rPr>
          <w:rFonts w:ascii="Calibri" w:cs="Calibri" w:eastAsia="Calibri" w:hAnsi="Calibri"/>
          <w:sz w:val="22"/>
          <w:szCs w:val="22"/>
        </w:rPr>
        <w:t xml:space="preserve">, </w:t>
      </w:r>
      <w:r>
        <w:rPr>
          <w:rFonts w:ascii="Calibri" w:cs="Calibri" w:eastAsia="Calibri" w:hAnsi="Calibri"/>
          <w:b/>
          <w:bCs/>
          <w:sz w:val="22"/>
          <w:szCs w:val="22"/>
        </w:rPr>
        <w:t xml:space="preserve">“data subject”</w:t>
      </w:r>
      <w:r>
        <w:rPr>
          <w:rFonts w:ascii="Calibri" w:cs="Calibri" w:eastAsia="Calibri" w:hAnsi="Calibri"/>
          <w:sz w:val="22"/>
          <w:szCs w:val="22"/>
        </w:rPr>
        <w:t xml:space="preserve">, </w:t>
      </w:r>
      <w:r>
        <w:rPr>
          <w:rFonts w:ascii="Calibri" w:cs="Calibri" w:eastAsia="Calibri" w:hAnsi="Calibri"/>
          <w:b/>
          <w:bCs/>
          <w:sz w:val="22"/>
          <w:szCs w:val="22"/>
        </w:rPr>
        <w:t xml:space="preserve">“personal data”</w:t>
      </w:r>
      <w:r>
        <w:rPr>
          <w:rFonts w:ascii="Calibri" w:cs="Calibri" w:eastAsia="Calibri" w:hAnsi="Calibri"/>
          <w:sz w:val="22"/>
          <w:szCs w:val="22"/>
        </w:rPr>
        <w:t xml:space="preserve">, </w:t>
      </w:r>
      <w:r>
        <w:rPr>
          <w:rFonts w:ascii="Calibri" w:cs="Calibri" w:eastAsia="Calibri" w:hAnsi="Calibri"/>
          <w:b/>
          <w:bCs/>
          <w:sz w:val="22"/>
          <w:szCs w:val="22"/>
        </w:rPr>
        <w:t xml:space="preserve">“personal data breach”</w:t>
      </w:r>
      <w:r>
        <w:rPr>
          <w:rFonts w:ascii="Calibri" w:cs="Calibri" w:eastAsia="Calibri" w:hAnsi="Calibri"/>
          <w:sz w:val="22"/>
          <w:szCs w:val="22"/>
        </w:rPr>
        <w:t xml:space="preserve">, </w:t>
      </w:r>
      <w:r>
        <w:rPr>
          <w:rFonts w:ascii="Calibri" w:cs="Calibri" w:eastAsia="Calibri" w:hAnsi="Calibri"/>
          <w:b/>
          <w:bCs/>
          <w:sz w:val="22"/>
          <w:szCs w:val="22"/>
        </w:rPr>
        <w:t xml:space="preserve">“processing”</w:t>
      </w:r>
      <w:r>
        <w:rPr>
          <w:rFonts w:ascii="Calibri" w:cs="Calibri" w:eastAsia="Calibri" w:hAnsi="Calibri"/>
          <w:sz w:val="22"/>
          <w:szCs w:val="22"/>
        </w:rPr>
        <w:t xml:space="preserve"> and </w:t>
      </w:r>
      <w:r>
        <w:rPr>
          <w:rFonts w:ascii="Calibri" w:cs="Calibri" w:eastAsia="Calibri" w:hAnsi="Calibri"/>
          <w:b/>
          <w:bCs/>
          <w:sz w:val="22"/>
          <w:szCs w:val="22"/>
        </w:rPr>
        <w:t xml:space="preserve">“sub-processor”</w:t>
      </w:r>
      <w:r>
        <w:rPr>
          <w:rFonts w:ascii="Calibri" w:cs="Calibri" w:eastAsia="Calibri" w:hAnsi="Calibri"/>
          <w:sz w:val="22"/>
          <w:szCs w:val="22"/>
        </w:rPr>
        <w:t xml:space="preserve"> have the meanings given in the UK GDPR. </w:t>
      </w:r>
      <w:r>
        <w:rPr>
          <w:rFonts w:ascii="Calibri" w:cs="Calibri" w:eastAsia="Calibri" w:hAnsi="Calibri"/>
          <w:b/>
          <w:bCs/>
          <w:sz w:val="22"/>
          <w:szCs w:val="22"/>
        </w:rPr>
        <w:t xml:space="preserve">“Protected Data”</w:t>
      </w:r>
      <w:r>
        <w:rPr>
          <w:rFonts w:ascii="Calibri" w:cs="Calibri" w:eastAsia="Calibri" w:hAnsi="Calibri"/>
          <w:sz w:val="22"/>
          <w:szCs w:val="22"/>
        </w:rPr>
        <w:t xml:space="preserve"> means the personal data described in Schedule 1 that the Processor processes on behalf of the Controller under the Agreement.</w:t>
      </w:r>
    </w:p>
    <w:p>
      <w:pPr>
        <w:pStyle w:val="Heading1"/>
        <w:keepNext/>
        <w:spacing w:after="100" w:before="240"/>
      </w:pPr>
      <w:r>
        <w:rPr>
          <w:rFonts w:ascii="Calibri" w:cs="Calibri" w:eastAsia="Calibri" w:hAnsi="Calibri"/>
          <w:b/>
          <w:bCs/>
          <w:color w:val="1F3864"/>
          <w:sz w:val="24"/>
          <w:szCs w:val="24"/>
        </w:rPr>
        <w:t xml:space="preserve">2.	Roles and scope</w:t>
      </w:r>
    </w:p>
    <w:p>
      <w:pPr>
        <w:spacing w:after="100"/>
        <w:ind w:left="720" w:hanging="720"/>
      </w:pPr>
      <w:r>
        <w:rPr>
          <w:rFonts w:ascii="Calibri" w:cs="Calibri" w:eastAsia="Calibri" w:hAnsi="Calibri"/>
          <w:sz w:val="22"/>
          <w:szCs w:val="22"/>
        </w:rPr>
        <w:t xml:space="preserve">2.1	</w:t>
      </w:r>
      <w:r>
        <w:rPr>
          <w:rFonts w:ascii="Calibri" w:cs="Calibri" w:eastAsia="Calibri" w:hAnsi="Calibri"/>
          <w:sz w:val="22"/>
          <w:szCs w:val="22"/>
        </w:rPr>
        <w:t xml:space="preserve">The parties agree that, for the purposes of the Data Protection Legislation, the Controller is the controller and the Processor is the processor of the Protected Data. The subject matter, duration, nature and purpose of the processing, the types of personal data and the categories of data subject are set out in Schedule 1.</w:t>
      </w:r>
    </w:p>
    <w:p>
      <w:pPr>
        <w:spacing w:after="100"/>
        <w:ind w:left="720" w:hanging="720"/>
      </w:pPr>
      <w:r>
        <w:rPr>
          <w:rFonts w:ascii="Calibri" w:cs="Calibri" w:eastAsia="Calibri" w:hAnsi="Calibri"/>
          <w:sz w:val="22"/>
          <w:szCs w:val="22"/>
        </w:rPr>
        <w:t xml:space="preserve">2.2	</w:t>
      </w:r>
      <w:r>
        <w:rPr>
          <w:rFonts w:ascii="Calibri" w:cs="Calibri" w:eastAsia="Calibri" w:hAnsi="Calibri"/>
          <w:sz w:val="22"/>
          <w:szCs w:val="22"/>
        </w:rPr>
        <w:t xml:space="preserve">The Controller is responsible for ensuring that it has a lawful basis, and all necessary consents and notices in place, to enable the lawful transfer of the Protected Data to the Processor and its processing under the Agreement. This includes any consents required for images of, and other personal data relating to, pupils and other children.</w:t>
      </w:r>
    </w:p>
    <w:p>
      <w:pPr>
        <w:spacing w:after="100"/>
        <w:ind w:left="720" w:hanging="720"/>
      </w:pPr>
      <w:r>
        <w:rPr>
          <w:rFonts w:ascii="Calibri" w:cs="Calibri" w:eastAsia="Calibri" w:hAnsi="Calibri"/>
          <w:sz w:val="22"/>
          <w:szCs w:val="22"/>
        </w:rPr>
        <w:t xml:space="preserve">2.3	</w:t>
      </w:r>
      <w:r>
        <w:rPr>
          <w:rFonts w:ascii="Calibri" w:cs="Calibri" w:eastAsia="Calibri" w:hAnsi="Calibri"/>
          <w:sz w:val="22"/>
          <w:szCs w:val="22"/>
        </w:rPr>
        <w:t xml:space="preserve">The Processor shall process the Protected Data only for the purpose of providing the Services and as otherwise necessary to perform the Agreement.</w:t>
      </w:r>
    </w:p>
    <w:p>
      <w:pPr>
        <w:pStyle w:val="Heading1"/>
        <w:keepNext/>
        <w:spacing w:after="100" w:before="240"/>
      </w:pPr>
      <w:r>
        <w:rPr>
          <w:rFonts w:ascii="Calibri" w:cs="Calibri" w:eastAsia="Calibri" w:hAnsi="Calibri"/>
          <w:b/>
          <w:bCs/>
          <w:color w:val="1F3864"/>
          <w:sz w:val="24"/>
          <w:szCs w:val="24"/>
        </w:rPr>
        <w:t xml:space="preserve">3.	Processor obligations</w:t>
      </w:r>
    </w:p>
    <w:p>
      <w:pPr>
        <w:spacing w:after="100"/>
        <w:ind w:left="720" w:hanging="720"/>
      </w:pPr>
      <w:r>
        <w:rPr>
          <w:rFonts w:ascii="Calibri" w:cs="Calibri" w:eastAsia="Calibri" w:hAnsi="Calibri"/>
          <w:sz w:val="22"/>
          <w:szCs w:val="22"/>
        </w:rPr>
        <w:t xml:space="preserve">3.1	</w:t>
      </w:r>
      <w:r>
        <w:rPr>
          <w:rFonts w:ascii="Calibri" w:cs="Calibri" w:eastAsia="Calibri" w:hAnsi="Calibri"/>
          <w:sz w:val="22"/>
          <w:szCs w:val="22"/>
        </w:rPr>
        <w:t xml:space="preserve">The Processor shall:</w:t>
      </w:r>
    </w:p>
    <w:p>
      <w:pPr>
        <w:spacing w:after="80"/>
        <w:ind w:left="1440" w:hanging="720"/>
      </w:pPr>
      <w:r>
        <w:rPr>
          <w:rFonts w:ascii="Calibri" w:cs="Calibri" w:eastAsia="Calibri" w:hAnsi="Calibri"/>
          <w:sz w:val="22"/>
          <w:szCs w:val="22"/>
        </w:rPr>
        <w:t xml:space="preserve">(a)	</w:t>
      </w:r>
      <w:r>
        <w:rPr>
          <w:rFonts w:ascii="Calibri" w:cs="Calibri" w:eastAsia="Calibri" w:hAnsi="Calibri"/>
          <w:sz w:val="22"/>
          <w:szCs w:val="22"/>
        </w:rPr>
        <w:t xml:space="preserve">process the Protected Data only on the Controller's documented instructions (including as set out in the Agreement and Schedule 1), unless required to do otherwise by law, in which case it shall inform the Controller first unless the law prohibits this;</w:t>
      </w:r>
    </w:p>
    <w:p>
      <w:pPr>
        <w:spacing w:after="80"/>
        <w:ind w:left="1440" w:hanging="720"/>
      </w:pPr>
      <w:r>
        <w:rPr>
          <w:rFonts w:ascii="Calibri" w:cs="Calibri" w:eastAsia="Calibri" w:hAnsi="Calibri"/>
          <w:sz w:val="22"/>
          <w:szCs w:val="22"/>
        </w:rPr>
        <w:t xml:space="preserve">(b)	</w:t>
      </w:r>
      <w:r>
        <w:rPr>
          <w:rFonts w:ascii="Calibri" w:cs="Calibri" w:eastAsia="Calibri" w:hAnsi="Calibri"/>
          <w:sz w:val="22"/>
          <w:szCs w:val="22"/>
        </w:rPr>
        <w:t xml:space="preserve">ensure that persons authorised to process the Protected Data are subject to a duty of confidentiality;</w:t>
      </w:r>
    </w:p>
    <w:p>
      <w:pPr>
        <w:spacing w:after="80"/>
        <w:ind w:left="1440" w:hanging="720"/>
      </w:pPr>
      <w:r>
        <w:rPr>
          <w:rFonts w:ascii="Calibri" w:cs="Calibri" w:eastAsia="Calibri" w:hAnsi="Calibri"/>
          <w:sz w:val="22"/>
          <w:szCs w:val="22"/>
        </w:rPr>
        <w:t xml:space="preserve">(c)	</w:t>
      </w:r>
      <w:r>
        <w:rPr>
          <w:rFonts w:ascii="Calibri" w:cs="Calibri" w:eastAsia="Calibri" w:hAnsi="Calibri"/>
          <w:sz w:val="22"/>
          <w:szCs w:val="22"/>
        </w:rPr>
        <w:t xml:space="preserve">implement and maintain the technical and organisational security measures described in Schedule 2, appropriate to the risk, taking into account the state of the art, the nature of the data and the harm that might result from a breach;</w:t>
      </w:r>
    </w:p>
    <w:p>
      <w:pPr>
        <w:spacing w:after="80"/>
        <w:ind w:left="1440" w:hanging="720"/>
      </w:pPr>
      <w:r>
        <w:rPr>
          <w:rFonts w:ascii="Calibri" w:cs="Calibri" w:eastAsia="Calibri" w:hAnsi="Calibri"/>
          <w:sz w:val="22"/>
          <w:szCs w:val="22"/>
        </w:rPr>
        <w:t xml:space="preserve">(d)	</w:t>
      </w:r>
      <w:r>
        <w:rPr>
          <w:rFonts w:ascii="Calibri" w:cs="Calibri" w:eastAsia="Calibri" w:hAnsi="Calibri"/>
          <w:sz w:val="22"/>
          <w:szCs w:val="22"/>
        </w:rPr>
        <w:t xml:space="preserve">taking into account the nature of the processing, assist the Controller by appropriate technical and organisational measures, insofar as possible, to respond to requests from data subjects exercising their rights under the Data Protection Legislation;</w:t>
      </w:r>
    </w:p>
    <w:p>
      <w:pPr>
        <w:spacing w:after="80"/>
        <w:ind w:left="1440" w:hanging="720"/>
      </w:pPr>
      <w:r>
        <w:rPr>
          <w:rFonts w:ascii="Calibri" w:cs="Calibri" w:eastAsia="Calibri" w:hAnsi="Calibri"/>
          <w:sz w:val="22"/>
          <w:szCs w:val="22"/>
        </w:rPr>
        <w:t xml:space="preserve">(e)	</w:t>
      </w:r>
      <w:r>
        <w:rPr>
          <w:rFonts w:ascii="Calibri" w:cs="Calibri" w:eastAsia="Calibri" w:hAnsi="Calibri"/>
          <w:sz w:val="22"/>
          <w:szCs w:val="22"/>
        </w:rPr>
        <w:t xml:space="preserve">assist the Controller in ensuring compliance with its obligations relating to security, personal data breach notification, data protection impact assessments and prior consultation with the Information Commissioner's Office, taking into account the nature of the processing and the information available to the Processor;</w:t>
      </w:r>
    </w:p>
    <w:p>
      <w:pPr>
        <w:spacing w:after="80"/>
        <w:ind w:left="1440" w:hanging="720"/>
      </w:pPr>
      <w:r>
        <w:rPr>
          <w:rFonts w:ascii="Calibri" w:cs="Calibri" w:eastAsia="Calibri" w:hAnsi="Calibri"/>
          <w:sz w:val="22"/>
          <w:szCs w:val="22"/>
        </w:rPr>
        <w:t xml:space="preserve">(f)	</w:t>
      </w:r>
      <w:r>
        <w:rPr>
          <w:rFonts w:ascii="Calibri" w:cs="Calibri" w:eastAsia="Calibri" w:hAnsi="Calibri"/>
          <w:sz w:val="22"/>
          <w:szCs w:val="22"/>
        </w:rPr>
        <w:t xml:space="preserve">notify the Controller without undue delay, and in any event within 48 hours, after becoming aware of a personal data breach affecting the Protected Data, and provide the Controller with sufficient information to enable it to meet any obligations to report the breach; and</w:t>
      </w:r>
    </w:p>
    <w:p>
      <w:pPr>
        <w:spacing w:after="80"/>
        <w:ind w:left="1440" w:hanging="720"/>
      </w:pPr>
      <w:r>
        <w:rPr>
          <w:rFonts w:ascii="Calibri" w:cs="Calibri" w:eastAsia="Calibri" w:hAnsi="Calibri"/>
          <w:sz w:val="22"/>
          <w:szCs w:val="22"/>
        </w:rPr>
        <w:t xml:space="preserve">(g)	</w:t>
      </w:r>
      <w:r>
        <w:rPr>
          <w:rFonts w:ascii="Calibri" w:cs="Calibri" w:eastAsia="Calibri" w:hAnsi="Calibri"/>
          <w:sz w:val="22"/>
          <w:szCs w:val="22"/>
        </w:rPr>
        <w:t xml:space="preserve">make available to the Controller information reasonably necessary to demonstrate compliance with this DPA.</w:t>
      </w:r>
    </w:p>
    <w:p>
      <w:pPr>
        <w:spacing w:after="100"/>
        <w:ind w:left="720" w:hanging="720"/>
      </w:pPr>
      <w:r>
        <w:rPr>
          <w:rFonts w:ascii="Calibri" w:cs="Calibri" w:eastAsia="Calibri" w:hAnsi="Calibri"/>
          <w:sz w:val="22"/>
          <w:szCs w:val="22"/>
        </w:rPr>
        <w:t xml:space="preserve">3.2	</w:t>
      </w:r>
      <w:r>
        <w:rPr>
          <w:rFonts w:ascii="Calibri" w:cs="Calibri" w:eastAsia="Calibri" w:hAnsi="Calibri"/>
          <w:sz w:val="22"/>
          <w:szCs w:val="22"/>
        </w:rPr>
        <w:t xml:space="preserve">If the Processor considers that an instruction from the Controller infringes the Data Protection Legislation, it shall promptly inform the Controller.</w:t>
      </w:r>
    </w:p>
    <w:p>
      <w:pPr>
        <w:pStyle w:val="Heading1"/>
        <w:keepNext/>
        <w:spacing w:after="100" w:before="240"/>
      </w:pPr>
      <w:r>
        <w:rPr>
          <w:rFonts w:ascii="Calibri" w:cs="Calibri" w:eastAsia="Calibri" w:hAnsi="Calibri"/>
          <w:b/>
          <w:bCs/>
          <w:color w:val="1F3864"/>
          <w:sz w:val="24"/>
          <w:szCs w:val="24"/>
        </w:rPr>
        <w:t xml:space="preserve">4.	Sub-processors</w:t>
      </w:r>
    </w:p>
    <w:p>
      <w:pPr>
        <w:spacing w:after="100"/>
        <w:ind w:left="720" w:hanging="720"/>
      </w:pPr>
      <w:r>
        <w:rPr>
          <w:rFonts w:ascii="Calibri" w:cs="Calibri" w:eastAsia="Calibri" w:hAnsi="Calibri"/>
          <w:sz w:val="22"/>
          <w:szCs w:val="22"/>
        </w:rPr>
        <w:t xml:space="preserve">4.1	</w:t>
      </w:r>
      <w:r>
        <w:rPr>
          <w:rFonts w:ascii="Calibri" w:cs="Calibri" w:eastAsia="Calibri" w:hAnsi="Calibri"/>
          <w:sz w:val="22"/>
          <w:szCs w:val="22"/>
        </w:rPr>
        <w:t xml:space="preserve">The Controller gives the Processor general authorisation to appoint sub-processors to process the Protected Data, subject to this Clause 4. A list of the Processor's current sub-processors is set out in Schedule 3 (or is otherwise made available to the Controller on request).</w:t>
      </w:r>
    </w:p>
    <w:p>
      <w:pPr>
        <w:spacing w:after="100"/>
        <w:ind w:left="720" w:hanging="720"/>
      </w:pPr>
      <w:r>
        <w:rPr>
          <w:rFonts w:ascii="Calibri" w:cs="Calibri" w:eastAsia="Calibri" w:hAnsi="Calibri"/>
          <w:sz w:val="22"/>
          <w:szCs w:val="22"/>
        </w:rPr>
        <w:t xml:space="preserve">4.2	</w:t>
      </w:r>
      <w:r>
        <w:rPr>
          <w:rFonts w:ascii="Calibri" w:cs="Calibri" w:eastAsia="Calibri" w:hAnsi="Calibri"/>
          <w:sz w:val="22"/>
          <w:szCs w:val="22"/>
        </w:rPr>
        <w:t xml:space="preserve">The Processor shall: (a) impose on each sub-processor, by written contract, data protection obligations no less protective than those in this DPA; and (b) remain fully liable to the Controller for the performance of each sub-processor's obligations.</w:t>
      </w:r>
    </w:p>
    <w:p>
      <w:pPr>
        <w:spacing w:after="100"/>
        <w:ind w:left="720" w:hanging="720"/>
      </w:pPr>
      <w:r>
        <w:rPr>
          <w:rFonts w:ascii="Calibri" w:cs="Calibri" w:eastAsia="Calibri" w:hAnsi="Calibri"/>
          <w:sz w:val="22"/>
          <w:szCs w:val="22"/>
        </w:rPr>
        <w:t xml:space="preserve">4.3	</w:t>
      </w:r>
      <w:r>
        <w:rPr>
          <w:rFonts w:ascii="Calibri" w:cs="Calibri" w:eastAsia="Calibri" w:hAnsi="Calibri"/>
          <w:sz w:val="22"/>
          <w:szCs w:val="22"/>
        </w:rPr>
        <w:t xml:space="preserve">The Processor shall give the Controller reasonable prior notice of any intended addition or replacement of a sub-processor, and the Controller may object on reasonable data protection grounds. If the parties cannot resolve the objection, the Controller may terminate the affected Services on written notice.</w:t>
      </w:r>
    </w:p>
    <w:p>
      <w:pPr>
        <w:pStyle w:val="Heading1"/>
        <w:keepNext/>
        <w:spacing w:after="100" w:before="240"/>
      </w:pPr>
      <w:r>
        <w:rPr>
          <w:rFonts w:ascii="Calibri" w:cs="Calibri" w:eastAsia="Calibri" w:hAnsi="Calibri"/>
          <w:b/>
          <w:bCs/>
          <w:color w:val="1F3864"/>
          <w:sz w:val="24"/>
          <w:szCs w:val="24"/>
        </w:rPr>
        <w:t xml:space="preserve">5.	International transfers</w:t>
      </w:r>
    </w:p>
    <w:p>
      <w:pPr>
        <w:spacing w:after="100"/>
        <w:ind w:left="720" w:hanging="720"/>
      </w:pPr>
      <w:r>
        <w:rPr>
          <w:rFonts w:ascii="Calibri" w:cs="Calibri" w:eastAsia="Calibri" w:hAnsi="Calibri"/>
          <w:sz w:val="22"/>
          <w:szCs w:val="22"/>
        </w:rPr>
        <w:t xml:space="preserve">5.1	</w:t>
      </w:r>
      <w:r>
        <w:rPr>
          <w:rFonts w:ascii="Calibri" w:cs="Calibri" w:eastAsia="Calibri" w:hAnsi="Calibri"/>
          <w:sz w:val="22"/>
          <w:szCs w:val="22"/>
        </w:rPr>
        <w:t xml:space="preserve">The Processor shall not transfer the Protected Data outside the United Kingdom unless it has taken such measures as are necessary to ensure the transfer is compliant with the Data Protection Legislation, including (where required) putting in place the International Data Transfer Agreement or the UK Addendum to the EU Standard Contractual Clauses, or relying on an adequacy decision.</w:t>
      </w:r>
    </w:p>
    <w:p>
      <w:pPr>
        <w:pStyle w:val="Heading1"/>
        <w:keepNext/>
        <w:spacing w:after="100" w:before="240"/>
      </w:pPr>
      <w:r>
        <w:rPr>
          <w:rFonts w:ascii="Calibri" w:cs="Calibri" w:eastAsia="Calibri" w:hAnsi="Calibri"/>
          <w:b/>
          <w:bCs/>
          <w:color w:val="1F3864"/>
          <w:sz w:val="24"/>
          <w:szCs w:val="24"/>
        </w:rPr>
        <w:t xml:space="preserve">6.	Return and deletion</w:t>
      </w:r>
    </w:p>
    <w:p>
      <w:pPr>
        <w:spacing w:after="100"/>
        <w:ind w:left="720" w:hanging="720"/>
      </w:pPr>
      <w:r>
        <w:rPr>
          <w:rFonts w:ascii="Calibri" w:cs="Calibri" w:eastAsia="Calibri" w:hAnsi="Calibri"/>
          <w:sz w:val="22"/>
          <w:szCs w:val="22"/>
        </w:rPr>
        <w:t xml:space="preserve">6.1	</w:t>
      </w:r>
      <w:r>
        <w:rPr>
          <w:rFonts w:ascii="Calibri" w:cs="Calibri" w:eastAsia="Calibri" w:hAnsi="Calibri"/>
          <w:sz w:val="22"/>
          <w:szCs w:val="22"/>
        </w:rPr>
        <w:t xml:space="preserve">On expiry or termination of the Agreement, and at the Controller's choice, the Processor shall return the Protected Data to the Controller and/or delete it, and delete existing copies, unless the law requires the Processor to retain it. This is subject to the 30-day export window in the Licence Agreement, after which deletion may proceed.</w:t>
      </w:r>
    </w:p>
    <w:p>
      <w:pPr>
        <w:pStyle w:val="Heading1"/>
        <w:keepNext/>
        <w:spacing w:after="100" w:before="240"/>
      </w:pPr>
      <w:r>
        <w:rPr>
          <w:rFonts w:ascii="Calibri" w:cs="Calibri" w:eastAsia="Calibri" w:hAnsi="Calibri"/>
          <w:b/>
          <w:bCs/>
          <w:color w:val="1F3864"/>
          <w:sz w:val="24"/>
          <w:szCs w:val="24"/>
        </w:rPr>
        <w:t xml:space="preserve">7.	Audit</w:t>
      </w:r>
    </w:p>
    <w:p>
      <w:pPr>
        <w:spacing w:after="100"/>
        <w:ind w:left="720" w:hanging="720"/>
      </w:pPr>
      <w:r>
        <w:rPr>
          <w:rFonts w:ascii="Calibri" w:cs="Calibri" w:eastAsia="Calibri" w:hAnsi="Calibri"/>
          <w:sz w:val="22"/>
          <w:szCs w:val="22"/>
        </w:rPr>
        <w:t xml:space="preserve">7.1	</w:t>
      </w:r>
      <w:r>
        <w:rPr>
          <w:rFonts w:ascii="Calibri" w:cs="Calibri" w:eastAsia="Calibri" w:hAnsi="Calibri"/>
          <w:sz w:val="22"/>
          <w:szCs w:val="22"/>
        </w:rPr>
        <w:t xml:space="preserve">The Processor shall make available to the Controller information reasonably necessary to demonstrate compliance with Article 28 of the UK GDPR, and shall allow for and contribute to audits, including inspections, conducted by the Controller or its authorised auditor, on reasonable prior notice, no more than once in any 12-month period (unless required by a supervisory authority or following a personal data breach), and subject to reasonable confidentiality and security conditions.</w:t>
      </w:r>
    </w:p>
    <w:p>
      <w:pPr>
        <w:pStyle w:val="Heading1"/>
        <w:keepNext/>
        <w:spacing w:after="100" w:before="240"/>
      </w:pPr>
      <w:r>
        <w:rPr>
          <w:rFonts w:ascii="Calibri" w:cs="Calibri" w:eastAsia="Calibri" w:hAnsi="Calibri"/>
          <w:b/>
          <w:bCs/>
          <w:color w:val="1F3864"/>
          <w:sz w:val="24"/>
          <w:szCs w:val="24"/>
        </w:rPr>
        <w:t xml:space="preserve">8.	Liability and general</w:t>
      </w:r>
    </w:p>
    <w:p>
      <w:pPr>
        <w:spacing w:after="100"/>
        <w:ind w:left="720" w:hanging="720"/>
      </w:pPr>
      <w:r>
        <w:rPr>
          <w:rFonts w:ascii="Calibri" w:cs="Calibri" w:eastAsia="Calibri" w:hAnsi="Calibri"/>
          <w:sz w:val="22"/>
          <w:szCs w:val="22"/>
        </w:rPr>
        <w:t xml:space="preserve">8.1	</w:t>
      </w:r>
      <w:r>
        <w:rPr>
          <w:rFonts w:ascii="Calibri" w:cs="Calibri" w:eastAsia="Calibri" w:hAnsi="Calibri"/>
          <w:sz w:val="22"/>
          <w:szCs w:val="22"/>
        </w:rPr>
        <w:t xml:space="preserve">The liability of each party under or in connection with this DPA is subject to the limitations and exclusions of liability set out in the Licence Agreement.</w:t>
      </w:r>
    </w:p>
    <w:p>
      <w:pPr>
        <w:spacing w:after="100"/>
        <w:ind w:left="720" w:hanging="720"/>
      </w:pPr>
      <w:r>
        <w:rPr>
          <w:rFonts w:ascii="Calibri" w:cs="Calibri" w:eastAsia="Calibri" w:hAnsi="Calibri"/>
          <w:sz w:val="22"/>
          <w:szCs w:val="22"/>
        </w:rPr>
        <w:t xml:space="preserve">8.2	</w:t>
      </w:r>
      <w:r>
        <w:rPr>
          <w:rFonts w:ascii="Calibri" w:cs="Calibri" w:eastAsia="Calibri" w:hAnsi="Calibri"/>
          <w:sz w:val="22"/>
          <w:szCs w:val="22"/>
        </w:rPr>
        <w:t xml:space="preserve">This DPA is governed by the law of England and Wales. In the event of any conflict between this DPA and the rest of the Agreement in relation to the processing of personal data, this DPA prevails.</w:t>
      </w:r>
    </w:p>
    <w:p>
      <w:pPr>
        <w:spacing w:after="100" w:before="300"/>
      </w:pPr>
      <w:r>
        <w:rPr>
          <w:rFonts w:ascii="Calibri" w:cs="Calibri" w:eastAsia="Calibri" w:hAnsi="Calibri"/>
          <w:b/>
          <w:bCs/>
          <w:color w:val="1F3864"/>
          <w:sz w:val="24"/>
          <w:szCs w:val="24"/>
        </w:rPr>
        <w:t xml:space="preserve">SCHEDULE 1 — Details of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Subject matter</w:t>
            </w:r>
          </w:p>
        </w:tc>
        <w:tc>
          <w:tcPr>
            <w:tcW w:type="dxa" w:w="6160"/>
            <w:tcMar>
              <w:top w:type="dxa" w:w="60"/>
              <w:left w:type="dxa" w:w="120"/>
              <w:bottom w:type="dxa" w:w="60"/>
              <w:right w:type="dxa" w:w="120"/>
            </w:tcMar>
          </w:tcPr>
          <w:p>
            <w:r>
              <w:rPr>
                <w:rFonts w:ascii="Calibri" w:cs="Calibri" w:eastAsia="Calibri" w:hAnsi="Calibri"/>
                <w:sz w:val="22"/>
                <w:szCs w:val="22"/>
              </w:rPr>
              <w:t xml:space="preserve">Provision of the Edupic Create software-as-a-service platform (school website, marketing, prospectus, newsletter, photo-permission and related services) to the Controller.</w:t>
            </w:r>
          </w:p>
        </w:tc>
      </w:tr>
      <w:tr>
        <w:tc>
          <w:tcPr>
            <w:tcW w:type="dxa" w:w="3200"/>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Duration</w:t>
            </w:r>
          </w:p>
        </w:tc>
        <w:tc>
          <w:tcPr>
            <w:tcW w:type="dxa" w:w="6160"/>
            <w:tcMar>
              <w:top w:type="dxa" w:w="60"/>
              <w:left w:type="dxa" w:w="120"/>
              <w:bottom w:type="dxa" w:w="60"/>
              <w:right w:type="dxa" w:w="120"/>
            </w:tcMar>
          </w:tcPr>
          <w:p>
            <w:r>
              <w:rPr>
                <w:rFonts w:ascii="Calibri" w:cs="Calibri" w:eastAsia="Calibri" w:hAnsi="Calibri"/>
                <w:sz w:val="22"/>
                <w:szCs w:val="22"/>
              </w:rPr>
              <w:t xml:space="preserve">For the duration of the Subscription Term, plus the data export/retention period set out in the Agreement.</w:t>
            </w:r>
          </w:p>
        </w:tc>
      </w:tr>
      <w:tr>
        <w:tc>
          <w:tcPr>
            <w:tcW w:type="dxa" w:w="3200"/>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Nature and purpose</w:t>
            </w:r>
          </w:p>
        </w:tc>
        <w:tc>
          <w:tcPr>
            <w:tcW w:type="dxa" w:w="6160"/>
            <w:tcMar>
              <w:top w:type="dxa" w:w="60"/>
              <w:left w:type="dxa" w:w="120"/>
              <w:bottom w:type="dxa" w:w="60"/>
              <w:right w:type="dxa" w:w="120"/>
            </w:tcMar>
          </w:tcPr>
          <w:p>
            <w:r>
              <w:rPr>
                <w:rFonts w:ascii="Calibri" w:cs="Calibri" w:eastAsia="Calibri" w:hAnsi="Calibri"/>
                <w:sz w:val="22"/>
                <w:szCs w:val="22"/>
              </w:rPr>
              <w:t xml:space="preserve">Hosting, storage, organisation, retrieval, display, transmission and deletion of personal data for the purpose of enabling the Controller to operate its website and marketing communications and to manage photo permissions.</w:t>
            </w:r>
          </w:p>
        </w:tc>
      </w:tr>
      <w:tr>
        <w:tc>
          <w:tcPr>
            <w:tcW w:type="dxa" w:w="3200"/>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Types of personal data</w:t>
            </w:r>
          </w:p>
        </w:tc>
        <w:tc>
          <w:tcPr>
            <w:tcW w:type="dxa" w:w="6160"/>
            <w:tcMar>
              <w:top w:type="dxa" w:w="60"/>
              <w:left w:type="dxa" w:w="120"/>
              <w:bottom w:type="dxa" w:w="60"/>
              <w:right w:type="dxa" w:w="120"/>
            </w:tcMar>
          </w:tcPr>
          <w:p>
            <w:r>
              <w:rPr>
                <w:rFonts w:ascii="Calibri" w:cs="Calibri" w:eastAsia="Calibri" w:hAnsi="Calibri"/>
                <w:sz w:val="22"/>
                <w:szCs w:val="22"/>
              </w:rPr>
              <w:t xml:space="preserve">Names, contact details, images and video, and marketing/communication preferences of pupils, parents/carers, staff, governors and other individuals; account/login details of Authorised Users; and any other personal data the Controller chooses to upload.</w:t>
            </w:r>
          </w:p>
        </w:tc>
      </w:tr>
      <w:tr>
        <w:tc>
          <w:tcPr>
            <w:tcW w:type="dxa" w:w="3200"/>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Categories of data subject</w:t>
            </w:r>
          </w:p>
        </w:tc>
        <w:tc>
          <w:tcPr>
            <w:tcW w:type="dxa" w:w="6160"/>
            <w:tcMar>
              <w:top w:type="dxa" w:w="60"/>
              <w:left w:type="dxa" w:w="120"/>
              <w:bottom w:type="dxa" w:w="60"/>
              <w:right w:type="dxa" w:w="120"/>
            </w:tcMar>
          </w:tcPr>
          <w:p>
            <w:r>
              <w:rPr>
                <w:rFonts w:ascii="Calibri" w:cs="Calibri" w:eastAsia="Calibri" w:hAnsi="Calibri"/>
                <w:sz w:val="22"/>
                <w:szCs w:val="22"/>
              </w:rPr>
              <w:t xml:space="preserve">Pupils and other children; parents and carers; staff, governors and volunteers; and other individuals whose data the Controller uploads.</w:t>
            </w:r>
          </w:p>
        </w:tc>
      </w:tr>
      <w:tr>
        <w:tc>
          <w:tcPr>
            <w:tcW w:type="dxa" w:w="3200"/>
            <w:shd w:fill="D9E2F3" w:val="clear"/>
            <w:tcMar>
              <w:top w:type="dxa" w:w="60"/>
              <w:left w:type="dxa" w:w="120"/>
              <w:bottom w:type="dxa" w:w="60"/>
              <w:right w:type="dxa" w:w="120"/>
            </w:tcMar>
            <w:vAlign w:val="center"/>
          </w:tcPr>
          <w:p>
            <w:r>
              <w:rPr>
                <w:rFonts w:ascii="Calibri" w:cs="Calibri" w:eastAsia="Calibri" w:hAnsi="Calibri"/>
                <w:b/>
                <w:bCs/>
                <w:sz w:val="22"/>
                <w:szCs w:val="22"/>
              </w:rPr>
              <w:t xml:space="preserve">Special category / children's data</w:t>
            </w:r>
          </w:p>
        </w:tc>
        <w:tc>
          <w:tcPr>
            <w:tcW w:type="dxa" w:w="6160"/>
            <w:tcMar>
              <w:top w:type="dxa" w:w="60"/>
              <w:left w:type="dxa" w:w="120"/>
              <w:bottom w:type="dxa" w:w="60"/>
              <w:right w:type="dxa" w:w="120"/>
            </w:tcMar>
          </w:tcPr>
          <w:p>
            <w:r>
              <w:rPr>
                <w:rFonts w:ascii="Calibri" w:cs="Calibri" w:eastAsia="Calibri" w:hAnsi="Calibri"/>
                <w:sz w:val="22"/>
                <w:szCs w:val="22"/>
              </w:rPr>
              <w:t xml:space="preserve">The Protected Data includes personal data relating to children, and may include images from which special category data could be inferred. The Processor shall apply heightened care to such data.</w:t>
            </w:r>
          </w:p>
        </w:tc>
      </w:tr>
    </w:tbl>
    <w:p>
      <w:pPr>
        <w:spacing w:after="100" w:before="300"/>
      </w:pPr>
      <w:r>
        <w:rPr>
          <w:rFonts w:ascii="Calibri" w:cs="Calibri" w:eastAsia="Calibri" w:hAnsi="Calibri"/>
          <w:b/>
          <w:bCs/>
          <w:color w:val="1F3864"/>
          <w:sz w:val="24"/>
          <w:szCs w:val="24"/>
        </w:rPr>
        <w:t xml:space="preserve">SCHEDULE 2 — Technical and Organisational Security Measures</w:t>
      </w:r>
    </w:p>
    <w:p>
      <w:pPr>
        <w:spacing w:after="100"/>
      </w:pPr>
      <w:r>
        <w:rPr>
          <w:rFonts w:ascii="Calibri" w:cs="Calibri" w:eastAsia="Calibri" w:hAnsi="Calibri"/>
          <w:sz w:val="22"/>
          <w:szCs w:val="22"/>
        </w:rPr>
        <w:t xml:space="preserve">The Processor maintains security measures appropriate to the risk, including:</w:t>
      </w:r>
    </w:p>
    <w:p>
      <w:pPr>
        <w:spacing w:after="60"/>
        <w:ind w:left="1080" w:hanging="360"/>
      </w:pPr>
      <w:r>
        <w:rPr>
          <w:rFonts w:ascii="Calibri" w:cs="Calibri" w:eastAsia="Calibri" w:hAnsi="Calibri"/>
          <w:sz w:val="22"/>
          <w:szCs w:val="22"/>
        </w:rPr>
        <w:t xml:space="preserve">•  encryption of data in transit (TLS) and at rest;</w:t>
      </w:r>
    </w:p>
    <w:p>
      <w:pPr>
        <w:spacing w:after="60"/>
        <w:ind w:left="1080" w:hanging="360"/>
      </w:pPr>
      <w:r>
        <w:rPr>
          <w:rFonts w:ascii="Calibri" w:cs="Calibri" w:eastAsia="Calibri" w:hAnsi="Calibri"/>
          <w:sz w:val="22"/>
          <w:szCs w:val="22"/>
        </w:rPr>
        <w:t xml:space="preserve">•  role-based access controls and the principle of least privilege for staff and systems;</w:t>
      </w:r>
    </w:p>
    <w:p>
      <w:pPr>
        <w:spacing w:after="60"/>
        <w:ind w:left="1080" w:hanging="360"/>
      </w:pPr>
      <w:r>
        <w:rPr>
          <w:rFonts w:ascii="Calibri" w:cs="Calibri" w:eastAsia="Calibri" w:hAnsi="Calibri"/>
          <w:sz w:val="22"/>
          <w:szCs w:val="22"/>
        </w:rPr>
        <w:t xml:space="preserve">•  secure authentication for Authorised Users, and the ability to enforce strong credentials;</w:t>
      </w:r>
    </w:p>
    <w:p>
      <w:pPr>
        <w:spacing w:after="60"/>
        <w:ind w:left="1080" w:hanging="360"/>
      </w:pPr>
      <w:r>
        <w:rPr>
          <w:rFonts w:ascii="Calibri" w:cs="Calibri" w:eastAsia="Calibri" w:hAnsi="Calibri"/>
          <w:sz w:val="22"/>
          <w:szCs w:val="22"/>
        </w:rPr>
        <w:t xml:space="preserve">•  regular backups and tested restore procedures;</w:t>
      </w:r>
    </w:p>
    <w:p>
      <w:pPr>
        <w:spacing w:after="60"/>
        <w:ind w:left="1080" w:hanging="360"/>
      </w:pPr>
      <w:r>
        <w:rPr>
          <w:rFonts w:ascii="Calibri" w:cs="Calibri" w:eastAsia="Calibri" w:hAnsi="Calibri"/>
          <w:sz w:val="22"/>
          <w:szCs w:val="22"/>
        </w:rPr>
        <w:t xml:space="preserve">•  logging and monitoring of access to the Protected Data;</w:t>
      </w:r>
    </w:p>
    <w:p>
      <w:pPr>
        <w:spacing w:after="60"/>
        <w:ind w:left="1080" w:hanging="360"/>
      </w:pPr>
      <w:r>
        <w:rPr>
          <w:rFonts w:ascii="Calibri" w:cs="Calibri" w:eastAsia="Calibri" w:hAnsi="Calibri"/>
          <w:sz w:val="22"/>
          <w:szCs w:val="22"/>
        </w:rPr>
        <w:t xml:space="preserve">•  vulnerability management, patching and (where appropriate) penetration testing;</w:t>
      </w:r>
    </w:p>
    <w:p>
      <w:pPr>
        <w:spacing w:after="60"/>
        <w:ind w:left="1080" w:hanging="360"/>
      </w:pPr>
      <w:r>
        <w:rPr>
          <w:rFonts w:ascii="Calibri" w:cs="Calibri" w:eastAsia="Calibri" w:hAnsi="Calibri"/>
          <w:sz w:val="22"/>
          <w:szCs w:val="22"/>
        </w:rPr>
        <w:t xml:space="preserve">•  staff data protection and information security training;</w:t>
      </w:r>
    </w:p>
    <w:p>
      <w:pPr>
        <w:spacing w:after="60"/>
        <w:ind w:left="1080" w:hanging="360"/>
      </w:pPr>
      <w:r>
        <w:rPr>
          <w:rFonts w:ascii="Calibri" w:cs="Calibri" w:eastAsia="Calibri" w:hAnsi="Calibri"/>
          <w:sz w:val="22"/>
          <w:szCs w:val="22"/>
        </w:rPr>
        <w:t xml:space="preserve">•  physical and environmental security at hosting locations (via the Processor's hosting providers);</w:t>
      </w:r>
    </w:p>
    <w:p>
      <w:pPr>
        <w:spacing w:after="60"/>
        <w:ind w:left="1080" w:hanging="360"/>
      </w:pPr>
      <w:r>
        <w:rPr>
          <w:rFonts w:ascii="Calibri" w:cs="Calibri" w:eastAsia="Calibri" w:hAnsi="Calibri"/>
          <w:sz w:val="22"/>
          <w:szCs w:val="22"/>
        </w:rPr>
        <w:t xml:space="preserve">•  documented incident response and personal data breach procedures.</w:t>
      </w:r>
    </w:p>
    <w:p>
      <w:pPr>
        <w:spacing w:after="100" w:before="300"/>
      </w:pPr>
      <w:r>
        <w:rPr>
          <w:rFonts w:ascii="Calibri" w:cs="Calibri" w:eastAsia="Calibri" w:hAnsi="Calibri"/>
          <w:b/>
          <w:bCs/>
          <w:color w:val="1F3864"/>
          <w:sz w:val="24"/>
          <w:szCs w:val="24"/>
        </w:rPr>
        <w:t xml:space="preserve">SCHEDULE 3 — Sub-processors</w:t>
      </w:r>
    </w:p>
    <w:p>
      <w:pPr>
        <w:spacing w:after="100"/>
      </w:pPr>
      <w:r>
        <w:rPr>
          <w:rFonts w:ascii="Calibri" w:cs="Calibri" w:eastAsia="Calibri" w:hAnsi="Calibri"/>
          <w:sz w:val="22"/>
          <w:szCs w:val="22"/>
        </w:rPr>
        <w:t xml:space="preserve">The Processor uses the following sub-processors to provide the Services. All processing takes place in the United Kingdom. The Processor will keep this list current and give notice of changes in accordance with Clause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160"/>
        <w:gridCol w:w="2400"/>
      </w:tblGrid>
      <w:tr>
        <w:trPr>
          <w:tblHeader/>
        </w:trPr>
        <w:tc>
          <w:tcPr>
            <w:tcW w:type="dxa" w:w="2800"/>
            <w:shd w:fill="1F3864" w:val="clear"/>
            <w:tcMar>
              <w:top w:type="dxa" w:w="60"/>
              <w:left w:type="dxa" w:w="120"/>
              <w:bottom w:type="dxa" w:w="60"/>
              <w:right w:type="dxa" w:w="120"/>
            </w:tcMar>
          </w:tcPr>
          <w:p>
            <w:r>
              <w:rPr>
                <w:rFonts w:ascii="Calibri" w:cs="Calibri" w:eastAsia="Calibri" w:hAnsi="Calibri"/>
                <w:b/>
                <w:bCs/>
                <w:color w:val="FFFFFF"/>
                <w:sz w:val="22"/>
                <w:szCs w:val="22"/>
              </w:rPr>
              <w:t xml:space="preserve">Sub-processor</w:t>
            </w:r>
          </w:p>
        </w:tc>
        <w:tc>
          <w:tcPr>
            <w:tcW w:type="dxa" w:w="4160"/>
            <w:shd w:fill="1F3864" w:val="clear"/>
            <w:tcMar>
              <w:top w:type="dxa" w:w="60"/>
              <w:left w:type="dxa" w:w="120"/>
              <w:bottom w:type="dxa" w:w="60"/>
              <w:right w:type="dxa" w:w="120"/>
            </w:tcMar>
          </w:tcPr>
          <w:p>
            <w:r>
              <w:rPr>
                <w:rFonts w:ascii="Calibri" w:cs="Calibri" w:eastAsia="Calibri" w:hAnsi="Calibri"/>
                <w:b/>
                <w:bCs/>
                <w:color w:val="FFFFFF"/>
                <w:sz w:val="22"/>
                <w:szCs w:val="22"/>
              </w:rPr>
              <w:t xml:space="preserve">Purpose</w:t>
            </w:r>
          </w:p>
        </w:tc>
        <w:tc>
          <w:tcPr>
            <w:tcW w:type="dxa" w:w="2400"/>
            <w:shd w:fill="1F3864" w:val="clear"/>
            <w:tcMar>
              <w:top w:type="dxa" w:w="60"/>
              <w:left w:type="dxa" w:w="120"/>
              <w:bottom w:type="dxa" w:w="60"/>
              <w:right w:type="dxa" w:w="120"/>
            </w:tcMar>
          </w:tcPr>
          <w:p>
            <w:r>
              <w:rPr>
                <w:rFonts w:ascii="Calibri" w:cs="Calibri" w:eastAsia="Calibri" w:hAnsi="Calibri"/>
                <w:b/>
                <w:bCs/>
                <w:color w:val="FFFFFF"/>
                <w:sz w:val="22"/>
                <w:szCs w:val="22"/>
              </w:rPr>
              <w:t xml:space="preserve">Location</w:t>
            </w:r>
          </w:p>
        </w:tc>
      </w:tr>
      <w:tr>
        <w:tc>
          <w:tcPr>
            <w:tcW w:type="dxa" w:w="2800"/>
            <w:tcMar>
              <w:top w:type="dxa" w:w="100"/>
              <w:left w:type="dxa" w:w="120"/>
              <w:bottom w:type="dxa" w:w="100"/>
              <w:right w:type="dxa" w:w="120"/>
            </w:tcMar>
            <w:vAlign w:val="center"/>
          </w:tcPr>
          <w:p>
            <w:r>
              <w:rPr>
                <w:rFonts w:ascii="Calibri" w:cs="Calibri" w:eastAsia="Calibri" w:hAnsi="Calibri"/>
                <w:b/>
                <w:bCs/>
                <w:sz w:val="22"/>
                <w:szCs w:val="22"/>
              </w:rPr>
              <w:t xml:space="preserve">Laravel Cloud</w:t>
            </w:r>
          </w:p>
        </w:tc>
        <w:tc>
          <w:tcPr>
            <w:tcW w:type="dxa" w:w="4160"/>
            <w:tcMar>
              <w:top w:type="dxa" w:w="100"/>
              <w:left w:type="dxa" w:w="120"/>
              <w:bottom w:type="dxa" w:w="100"/>
              <w:right w:type="dxa" w:w="120"/>
            </w:tcMar>
            <w:vAlign w:val="center"/>
          </w:tcPr>
          <w:p>
            <w:r>
              <w:rPr>
                <w:rFonts w:ascii="Calibri" w:cs="Calibri" w:eastAsia="Calibri" w:hAnsi="Calibri"/>
                <w:b w:val="false"/>
                <w:bCs w:val="false"/>
                <w:sz w:val="22"/>
                <w:szCs w:val="22"/>
              </w:rPr>
              <w:t xml:space="preserve">Application hosting and platform operation</w:t>
            </w:r>
          </w:p>
        </w:tc>
        <w:tc>
          <w:tcPr>
            <w:tcW w:type="dxa" w:w="2400"/>
            <w:tcMar>
              <w:top w:type="dxa" w:w="100"/>
              <w:left w:type="dxa" w:w="120"/>
              <w:bottom w:type="dxa" w:w="100"/>
              <w:right w:type="dxa" w:w="120"/>
            </w:tcMar>
            <w:vAlign w:val="center"/>
          </w:tcPr>
          <w:p>
            <w:r>
              <w:rPr>
                <w:rFonts w:ascii="Calibri" w:cs="Calibri" w:eastAsia="Calibri" w:hAnsi="Calibri"/>
                <w:b w:val="false"/>
                <w:bCs w:val="false"/>
                <w:sz w:val="22"/>
                <w:szCs w:val="22"/>
              </w:rPr>
              <w:t xml:space="preserve">United Kingdom</w:t>
            </w:r>
          </w:p>
        </w:tc>
      </w:tr>
      <w:tr>
        <w:tc>
          <w:tcPr>
            <w:tcW w:type="dxa" w:w="2800"/>
            <w:tcMar>
              <w:top w:type="dxa" w:w="100"/>
              <w:left w:type="dxa" w:w="120"/>
              <w:bottom w:type="dxa" w:w="100"/>
              <w:right w:type="dxa" w:w="120"/>
            </w:tcMar>
            <w:vAlign w:val="center"/>
          </w:tcPr>
          <w:p>
            <w:r>
              <w:rPr>
                <w:rFonts w:ascii="Calibri" w:cs="Calibri" w:eastAsia="Calibri" w:hAnsi="Calibri"/>
                <w:b/>
                <w:bCs/>
                <w:sz w:val="22"/>
                <w:szCs w:val="22"/>
              </w:rPr>
              <w:t xml:space="preserve">Amazon Web Services (AWS)</w:t>
            </w:r>
          </w:p>
        </w:tc>
        <w:tc>
          <w:tcPr>
            <w:tcW w:type="dxa" w:w="4160"/>
            <w:tcMar>
              <w:top w:type="dxa" w:w="100"/>
              <w:left w:type="dxa" w:w="120"/>
              <w:bottom w:type="dxa" w:w="100"/>
              <w:right w:type="dxa" w:w="120"/>
            </w:tcMar>
            <w:vAlign w:val="center"/>
          </w:tcPr>
          <w:p>
            <w:r>
              <w:rPr>
                <w:rFonts w:ascii="Calibri" w:cs="Calibri" w:eastAsia="Calibri" w:hAnsi="Calibri"/>
                <w:b w:val="false"/>
                <w:bCs w:val="false"/>
                <w:sz w:val="22"/>
                <w:szCs w:val="22"/>
              </w:rPr>
              <w:t xml:space="preserve">Underlying cloud infrastructure (compute and storage) on which the platform and database run</w:t>
            </w:r>
          </w:p>
        </w:tc>
        <w:tc>
          <w:tcPr>
            <w:tcW w:type="dxa" w:w="2400"/>
            <w:tcMar>
              <w:top w:type="dxa" w:w="100"/>
              <w:left w:type="dxa" w:w="120"/>
              <w:bottom w:type="dxa" w:w="100"/>
              <w:right w:type="dxa" w:w="120"/>
            </w:tcMar>
            <w:vAlign w:val="center"/>
          </w:tcPr>
          <w:p>
            <w:r>
              <w:rPr>
                <w:rFonts w:ascii="Calibri" w:cs="Calibri" w:eastAsia="Calibri" w:hAnsi="Calibri"/>
                <w:b w:val="false"/>
                <w:bCs w:val="false"/>
                <w:sz w:val="22"/>
                <w:szCs w:val="22"/>
              </w:rPr>
              <w:t xml:space="preserve">United Kingdom (UK region)</w:t>
            </w:r>
          </w:p>
        </w:tc>
      </w:tr>
      <w:tr>
        <w:tc>
          <w:tcPr>
            <w:tcW w:type="dxa" w:w="2800"/>
            <w:tcMar>
              <w:top w:type="dxa" w:w="100"/>
              <w:left w:type="dxa" w:w="120"/>
              <w:bottom w:type="dxa" w:w="100"/>
              <w:right w:type="dxa" w:w="120"/>
            </w:tcMar>
            <w:vAlign w:val="center"/>
          </w:tcPr>
          <w:p>
            <w:r>
              <w:rPr>
                <w:rFonts w:ascii="Calibri" w:cs="Calibri" w:eastAsia="Calibri" w:hAnsi="Calibri"/>
                <w:b/>
                <w:bCs/>
                <w:sz w:val="22"/>
                <w:szCs w:val="22"/>
              </w:rPr>
              <w:t xml:space="preserve">Neon</w:t>
            </w:r>
          </w:p>
        </w:tc>
        <w:tc>
          <w:tcPr>
            <w:tcW w:type="dxa" w:w="4160"/>
            <w:tcMar>
              <w:top w:type="dxa" w:w="100"/>
              <w:left w:type="dxa" w:w="120"/>
              <w:bottom w:type="dxa" w:w="100"/>
              <w:right w:type="dxa" w:w="120"/>
            </w:tcMar>
            <w:vAlign w:val="center"/>
          </w:tcPr>
          <w:p>
            <w:r>
              <w:rPr>
                <w:rFonts w:ascii="Calibri" w:cs="Calibri" w:eastAsia="Calibri" w:hAnsi="Calibri"/>
                <w:b w:val="false"/>
                <w:bCs w:val="false"/>
                <w:sz w:val="22"/>
                <w:szCs w:val="22"/>
              </w:rPr>
              <w:t xml:space="preserve">Managed PostgreSQL database service (hosted on AWS)</w:t>
            </w:r>
          </w:p>
        </w:tc>
        <w:tc>
          <w:tcPr>
            <w:tcW w:type="dxa" w:w="2400"/>
            <w:tcMar>
              <w:top w:type="dxa" w:w="100"/>
              <w:left w:type="dxa" w:w="120"/>
              <w:bottom w:type="dxa" w:w="100"/>
              <w:right w:type="dxa" w:w="120"/>
            </w:tcMar>
            <w:vAlign w:val="center"/>
          </w:tcPr>
          <w:p>
            <w:r>
              <w:rPr>
                <w:rFonts w:ascii="Calibri" w:cs="Calibri" w:eastAsia="Calibri" w:hAnsi="Calibri"/>
                <w:b w:val="false"/>
                <w:bCs w:val="false"/>
                <w:sz w:val="22"/>
                <w:szCs w:val="22"/>
              </w:rPr>
              <w:t xml:space="preserve">United Kingdom (UK region)</w:t>
            </w:r>
          </w:p>
        </w:tc>
      </w:tr>
      <w:tr>
        <w:tc>
          <w:tcPr>
            <w:tcW w:type="dxa" w:w="2800"/>
            <w:tcMar>
              <w:top w:type="dxa" w:w="100"/>
              <w:left w:type="dxa" w:w="120"/>
              <w:bottom w:type="dxa" w:w="100"/>
              <w:right w:type="dxa" w:w="120"/>
            </w:tcMar>
            <w:vAlign w:val="center"/>
          </w:tcPr>
          <w:p>
            <w:r>
              <w:rPr>
                <w:rFonts w:ascii="Calibri" w:cs="Calibri" w:eastAsia="Calibri" w:hAnsi="Calibri"/>
                <w:b/>
                <w:bCs/>
                <w:sz w:val="22"/>
                <w:szCs w:val="22"/>
              </w:rPr>
              <w:t xml:space="preserve">Resend</w:t>
            </w:r>
          </w:p>
        </w:tc>
        <w:tc>
          <w:tcPr>
            <w:tcW w:type="dxa" w:w="4160"/>
            <w:tcMar>
              <w:top w:type="dxa" w:w="100"/>
              <w:left w:type="dxa" w:w="120"/>
              <w:bottom w:type="dxa" w:w="100"/>
              <w:right w:type="dxa" w:w="120"/>
            </w:tcMar>
            <w:vAlign w:val="center"/>
          </w:tcPr>
          <w:p>
            <w:r>
              <w:rPr>
                <w:rFonts w:ascii="Calibri" w:cs="Calibri" w:eastAsia="Calibri" w:hAnsi="Calibri"/>
                <w:b w:val="false"/>
                <w:bCs w:val="false"/>
                <w:sz w:val="22"/>
                <w:szCs w:val="22"/>
              </w:rPr>
              <w:t xml:space="preserve">Transactional and marketing email delivery</w:t>
            </w:r>
          </w:p>
        </w:tc>
        <w:tc>
          <w:tcPr>
            <w:tcW w:type="dxa" w:w="2400"/>
            <w:tcMar>
              <w:top w:type="dxa" w:w="100"/>
              <w:left w:type="dxa" w:w="120"/>
              <w:bottom w:type="dxa" w:w="100"/>
              <w:right w:type="dxa" w:w="120"/>
            </w:tcMar>
            <w:vAlign w:val="center"/>
          </w:tcPr>
          <w:p>
            <w:r>
              <w:rPr>
                <w:rFonts w:ascii="Calibri" w:cs="Calibri" w:eastAsia="Calibri" w:hAnsi="Calibri"/>
                <w:b w:val="false"/>
                <w:bCs w:val="false"/>
                <w:sz w:val="22"/>
                <w:szCs w:val="22"/>
              </w:rPr>
              <w:t xml:space="preserve">United Kingdom</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6"/>
        <w:szCs w:val="16"/>
      </w:rPr>
      <w:t xml:space="preserve">Page </w:t>
    </w:r>
    <w:r>
      <w:rPr>
        <w:rFonts w:ascii="Calibri" w:cs="Calibri" w:eastAsia="Calibri" w:hAnsi="Calibri"/>
        <w:color w:val="808080"/>
        <w:sz w:val="16"/>
        <w:szCs w:val="16"/>
      </w:rPr>
      <w:fldChar w:fldCharType="begin"/>
      <w:instrText xml:space="preserve">PAGE</w:instrText>
      <w:fldChar w:fldCharType="separate"/>
      <w:fldChar w:fldCharType="end"/>
    </w:r>
    <w:r>
      <w:rPr>
        <w:rFonts w:ascii="Calibri" w:cs="Calibri" w:eastAsia="Calibri" w:hAnsi="Calibri"/>
        <w:color w:val="808080"/>
        <w:sz w:val="16"/>
        <w:szCs w:val="16"/>
      </w:rPr>
      <w:t xml:space="preserve"> of </w:t>
    </w:r>
    <w:r>
      <w:rPr>
        <w:rFonts w:ascii="Calibri" w:cs="Calibri" w:eastAsia="Calibri" w:hAnsi="Calibri"/>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6"/>
        <w:szCs w:val="16"/>
      </w:rPr>
      <w:t xml:space="preserve">Edupic Create — Data Processing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2026-07-13T17:12:09.346Z</dcterms:created>
  <dcterms:modified xsi:type="dcterms:W3CDTF">2026-07-13T17:12:09.346Z</dcterms:modified>
</cp:coreProperties>
</file>

<file path=docProps/custom.xml><?xml version="1.0" encoding="utf-8"?>
<Properties xmlns="http://schemas.openxmlformats.org/officeDocument/2006/custom-properties" xmlns:vt="http://schemas.openxmlformats.org/officeDocument/2006/docPropsVTypes"/>
</file>